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d00108c84540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32666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HRVATSKA KNJIŽNICA I ČITAONICA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96.653,17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132.512,49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89.630,20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121.275,77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7.022,97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11.236,72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160,0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13.661,86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18.406,34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13.661,86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18.406,34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6.638,89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7.169,62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1. siječnja do 30. rujna 2025. prihodi poslovanja ostvareni su u iznosu od  132.512,49 EUR-a, što je značajno povećanje ukupnih prihoda poslovanja u odnosu na isto razdoblje prethodne godine. 
Povećanje se bilježi na sljedećim stavkama:
- Kapitalne pomoći proračunskim korisnicima iz proračuna koji im nije nadležan ( Knjižnica je tijekom 2025. godine ostvarila više sredstava iz državnog proračuna temeljem projektnog financiranja, putem javnih poziva Ministarstva kulture i medija RH. Riječ je o projektima koji se odnose na kulturne i edukativne programe za građane , nabavu knjižne građe i opreme ),
- Kamate na oročena sredstva i depozite po viđenju ( Prihod od kamata na depozite po viđenju obračunate za novčana sredstva na žiroračunu ),
- Prihodi po posebnim propisima ( Prihodi ostvareni na temelju posebnih propisa -  članarine korisnika knjižnice te naknade za zakasninu pri vraćanju građe također su porasli. Razlozi su povećan broj korisnika i veća aktivnost u posudbi knjižnične građe ),
- Prihodi iz nadležnog proračunu za financiranje redovne djelatnosti proračunskih korisnika ( Osnivač je osigurao  veće iznose proračunskih sredstava za redovno poslovanje knjižnice, čime je omogućeno stabilno financiranje osnovne djelatnosti i dijela razvojnih aktivnosti ),
- Ostali prihodi ( Ovaj prihod ne proizlaze iz osnovne knjižnične djelatnosti, već predstavlja prihod nastao iz drugih izvora ).
Rashodi poslovanja u razdoblju od 1. siječnja do 30. rujan 2025. ostvareni su u iznosu od 121.275,77 EUR.
Najznačajnije povećanje rashoda evidentirano je na rashodima za zaposlene uslijed povećanja osnovice za obračun  plaće, te na ostalim nespomenutim rashodima poslovanja - troškovi reprezentacije i protokola uslijed povećanog broja manifestacija održanih u knjižnici. Najznačajnije smanjenje rashoda poslovanja bilježi se na rashodima za sitan inventar što je rezultat racionalizacije potrošnje i smanjene potrebe za nabavom istog.
U navedenom razdoblju nema ostvarenih prihoda od prodaje nefinancijske imovine, dok su rashodi za nabavu nefinancijske imovine ostvareni u iznosu od 18.406,34 EUR. Navedeni rashod odnosi se na nabavu knjižne građe i računala i računalne oprema.
U navedenom razdoblju nije bilo ostvarenih primitaka i izdataka od financijske imovine i zaduživanja.
U razdoblju od 1. siječnja do 30. rujna 2025. godine ostvaren je višak prihoda poslovanja u iznosu od 11.236,72 EUR,  manjak prihoda od nefinancijske imovine u iznosu od 18.406,34 EUR, slijedom čega je na kraju izvještajnog razdoblja ostvaren ukupan manjak prihoda i primitaka u iznosu od 7.169,62 EUR.
</w:t>
      </w:r>
    </w:p>
    <w:p>
      <w:r>
        <w:br/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0a82a219c4c13" /></Relationships>
</file>